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DD" w:rsidRDefault="00F232DD" w:rsidP="00F2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D6C">
        <w:rPr>
          <w:rFonts w:ascii="Times New Roman" w:hAnsi="Times New Roman" w:cs="Times New Roman"/>
          <w:sz w:val="28"/>
          <w:szCs w:val="28"/>
        </w:rPr>
        <w:t>Что понимается под счетной ошибкой в решениях Конституционного Суда Российской Федерации?</w:t>
      </w:r>
    </w:p>
    <w:p w:rsidR="00F232DD" w:rsidRDefault="00F232DD" w:rsidP="00F232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0D6C" w:rsidRDefault="00F232DD" w:rsidP="00CF0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="00CF0D6C" w:rsidRPr="00CF0D6C">
        <w:rPr>
          <w:rFonts w:ascii="Times New Roman" w:hAnsi="Times New Roman" w:cs="Times New Roman"/>
          <w:sz w:val="28"/>
          <w:szCs w:val="28"/>
        </w:rPr>
        <w:t xml:space="preserve"> </w:t>
      </w:r>
      <w:r w:rsidR="00CF0D6C">
        <w:rPr>
          <w:rFonts w:ascii="Times New Roman" w:hAnsi="Times New Roman" w:cs="Times New Roman"/>
          <w:sz w:val="28"/>
          <w:szCs w:val="28"/>
        </w:rPr>
        <w:t xml:space="preserve">Что же касается счетной ошибки, то действующее законодательство не содержит определения данного понятия. В правоприменительной практике в качестве таковой, как правило, понимается ошибка, допущенная при проведении арифметических подсчетов сумм, причитающихся к выплате (данная позиция была высказана и в </w:t>
      </w:r>
      <w:hyperlink r:id="rId8" w:history="1">
        <w:r w:rsidR="00CF0D6C">
          <w:rPr>
            <w:rFonts w:ascii="Times New Roman" w:hAnsi="Times New Roman" w:cs="Times New Roman"/>
            <w:color w:val="0000FF"/>
            <w:sz w:val="28"/>
            <w:szCs w:val="28"/>
          </w:rPr>
          <w:t>письме</w:t>
        </w:r>
      </w:hyperlink>
      <w:r w:rsidR="00CF0D6C">
        <w:rPr>
          <w:rFonts w:ascii="Times New Roman" w:hAnsi="Times New Roman" w:cs="Times New Roman"/>
          <w:sz w:val="28"/>
          <w:szCs w:val="28"/>
        </w:rPr>
        <w:t xml:space="preserve"> Федеральной службы по труду и занятости от 1 октября 2012 года N 1286-6-1). При этом в судебной практике по спорам о взыскании с работников (в том числе после увольнения) сумм, излишне выплаченных им работодателем, суды исходят из того, что в качестве счетной ошибки не могут рассматриваться допущенные работодателем технические ошибки (включая двойное перечисление денежных средств за один и тот же период), а также ошибки в применении работодателем норм закона при исчислении работнику заработной платы, различных гарантийных и компенсационных выплат, поскольку именно на работодателя возложена обязанность по соблюдению требований закона при начислении и выплате работнику заработной платы, предоставлению льгот и компенсаций, надлежащему оформлению документов, связанных с выплатой причитающихся ему в связи с осуществлением трудовой деятельности денежных средств (</w:t>
      </w:r>
      <w:hyperlink r:id="rId9" w:history="1">
        <w:r w:rsidR="00CF0D6C">
          <w:rPr>
            <w:rFonts w:ascii="Times New Roman" w:hAnsi="Times New Roman" w:cs="Times New Roman"/>
            <w:color w:val="0000FF"/>
            <w:sz w:val="28"/>
            <w:szCs w:val="28"/>
          </w:rPr>
          <w:t>определения</w:t>
        </w:r>
      </w:hyperlink>
      <w:r w:rsidR="00CF0D6C">
        <w:rPr>
          <w:rFonts w:ascii="Times New Roman" w:hAnsi="Times New Roman" w:cs="Times New Roman"/>
          <w:sz w:val="28"/>
          <w:szCs w:val="28"/>
        </w:rPr>
        <w:t xml:space="preserve"> Судебной коллегии по гражданским делам Верховного Суда Российской Федерации от 20 января 2012 года N 59-В11-17 и от 3 августа 2020 года </w:t>
      </w:r>
      <w:hyperlink r:id="rId10" w:history="1">
        <w:r w:rsidR="00CF0D6C">
          <w:rPr>
            <w:rFonts w:ascii="Times New Roman" w:hAnsi="Times New Roman" w:cs="Times New Roman"/>
            <w:color w:val="0000FF"/>
            <w:sz w:val="28"/>
            <w:szCs w:val="28"/>
          </w:rPr>
          <w:t>N 57-КГ20-8-К1</w:t>
        </w:r>
      </w:hyperlink>
      <w:r w:rsidR="00CF0D6C">
        <w:rPr>
          <w:rFonts w:ascii="Times New Roman" w:hAnsi="Times New Roman" w:cs="Times New Roman"/>
          <w:sz w:val="28"/>
          <w:szCs w:val="28"/>
        </w:rPr>
        <w:t>).</w:t>
      </w:r>
    </w:p>
    <w:p w:rsidR="00CF0D6C" w:rsidRDefault="00CF0D6C" w:rsidP="00CF0D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Аналогичный подход к толкованию понятия "счетная ошибка" формируется и в судебной практике по спорам с участием военнослужащих и лиц, уволенных с военной службы. Так, Верховный Суд Российской Федерации неоднократно указывал, что не может расцениваться как счетная ошибка ненадлежащее исполнение уполномоченными должностными лицами обязанностей по соблюдению требований законодательства при начислении и выплате военнослужащему, проходящему военную службу по контракту, денежного довольствия, правильному оформлению документов, внесение недостоверных сведений в систему СПО "Алушта", а последующая отмена приказа командира воинской части, в соответствии с которым военнослужащему была произведена выплата тех или иных дополнительных составляющих денежного довольствия, не влечет возврат сумм соответствующих выплат, полученных за прошедший период, т.е. за период действия данного приказа (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определение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Судебной коллегии по гражданским делам Верховного Суда Российской Федерации от 14 января 2019 года N 34-КГ18-20, определения Судебной коллегии по делам военнослужащих Верховного Суда Российской Федерации от 13 июля 2021 года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228-КГ21-3-К10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11 августа 2021 года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228-КГ21-2-К10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 сентября 2021 года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228-КГ21-4-К10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9A39FE" w:rsidRPr="00F232DD" w:rsidRDefault="00CF0D6C" w:rsidP="00CF0D6C">
      <w:pPr>
        <w:jc w:val="right"/>
      </w:pPr>
      <w:r w:rsidRPr="00CF0D6C">
        <w:rPr>
          <w:rFonts w:ascii="Times New Roman" w:hAnsi="Times New Roman" w:cs="Times New Roman"/>
          <w:i/>
          <w:iCs/>
          <w:sz w:val="24"/>
          <w:szCs w:val="24"/>
        </w:rPr>
        <w:t>(по материалам Постановлений КС РФ от 11.01.202 г. №1-П и от 25.04.2022 г. №17-П)</w:t>
      </w:r>
    </w:p>
    <w:sectPr w:rsidR="009A39FE" w:rsidRPr="00F232DD" w:rsidSect="00AB092B">
      <w:headerReference w:type="default" r:id="rId1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2B1" w:rsidRDefault="004872B1" w:rsidP="00AB092B">
      <w:pPr>
        <w:spacing w:after="0" w:line="240" w:lineRule="auto"/>
      </w:pPr>
      <w:r>
        <w:separator/>
      </w:r>
    </w:p>
  </w:endnote>
  <w:endnote w:type="continuationSeparator" w:id="0">
    <w:p w:rsidR="004872B1" w:rsidRDefault="004872B1" w:rsidP="00AB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2B1" w:rsidRDefault="004872B1" w:rsidP="00AB092B">
      <w:pPr>
        <w:spacing w:after="0" w:line="240" w:lineRule="auto"/>
      </w:pPr>
      <w:r>
        <w:separator/>
      </w:r>
    </w:p>
  </w:footnote>
  <w:footnote w:type="continuationSeparator" w:id="0">
    <w:p w:rsidR="004872B1" w:rsidRDefault="004872B1" w:rsidP="00AB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>
      <w:rPr>
        <w:rFonts w:ascii="Garamond" w:eastAsia="MS Mincho" w:hAnsi="Garamond"/>
        <w:b/>
        <w:bCs/>
        <w:iCs/>
        <w:noProof/>
        <w:color w:val="3366FF"/>
        <w:spacing w:val="38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-81915</wp:posOffset>
          </wp:positionV>
          <wp:extent cx="1314450" cy="1047750"/>
          <wp:effectExtent l="0" t="0" r="0" b="0"/>
          <wp:wrapSquare wrapText="bothSides"/>
          <wp:docPr id="1" name="Рисунок 1" descr="cid:image001.jpg@01CCBE41.AB119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id:image001.jpg@01CCBE41.AB119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50">
      <w:rPr>
        <w:rFonts w:ascii="Garamond" w:eastAsia="MS Mincho" w:hAnsi="Garamond"/>
        <w:b/>
        <w:spacing w:val="38"/>
        <w:sz w:val="28"/>
        <w:szCs w:val="28"/>
      </w:rPr>
      <w:t>Правовая инспекция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Брянского регионального обособленного</w:t>
    </w:r>
  </w:p>
  <w:p w:rsidR="00AB092B" w:rsidRPr="00557B50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 xml:space="preserve">подразделения </w:t>
    </w:r>
    <w:proofErr w:type="spellStart"/>
    <w:r w:rsidRPr="00557B50">
      <w:rPr>
        <w:rFonts w:ascii="Garamond" w:eastAsia="MS Mincho" w:hAnsi="Garamond"/>
        <w:b/>
        <w:spacing w:val="38"/>
        <w:sz w:val="28"/>
        <w:szCs w:val="28"/>
      </w:rPr>
      <w:t>Дорпрофжел</w:t>
    </w:r>
    <w:proofErr w:type="spellEnd"/>
  </w:p>
  <w:p w:rsidR="00AB092B" w:rsidRDefault="00AB092B" w:rsidP="00AB092B">
    <w:pPr>
      <w:spacing w:after="0" w:line="240" w:lineRule="auto"/>
      <w:rPr>
        <w:rFonts w:ascii="Garamond" w:eastAsia="MS Mincho" w:hAnsi="Garamond"/>
        <w:b/>
        <w:spacing w:val="38"/>
        <w:sz w:val="28"/>
        <w:szCs w:val="28"/>
      </w:rPr>
    </w:pPr>
    <w:r w:rsidRPr="00557B50">
      <w:rPr>
        <w:rFonts w:ascii="Garamond" w:eastAsia="MS Mincho" w:hAnsi="Garamond"/>
        <w:b/>
        <w:spacing w:val="38"/>
        <w:sz w:val="28"/>
        <w:szCs w:val="28"/>
      </w:rPr>
      <w:t>на Московской железной дороге</w:t>
    </w:r>
  </w:p>
  <w:p w:rsidR="00AB092B" w:rsidRDefault="00AB092B" w:rsidP="00AB092B">
    <w:pPr>
      <w:pStyle w:val="a3"/>
    </w:pPr>
  </w:p>
  <w:p w:rsidR="00AB092B" w:rsidRDefault="00AB09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3">
    <w:nsid w:val="7ECE7963"/>
    <w:multiLevelType w:val="multilevel"/>
    <w:tmpl w:val="3CCCB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9FE"/>
    <w:rsid w:val="0002676A"/>
    <w:rsid w:val="000749FE"/>
    <w:rsid w:val="000A0CF4"/>
    <w:rsid w:val="000A473C"/>
    <w:rsid w:val="000F730E"/>
    <w:rsid w:val="00147EEF"/>
    <w:rsid w:val="00152729"/>
    <w:rsid w:val="0019036C"/>
    <w:rsid w:val="001B5A0A"/>
    <w:rsid w:val="001D0A29"/>
    <w:rsid w:val="001F047A"/>
    <w:rsid w:val="002216A0"/>
    <w:rsid w:val="002904AB"/>
    <w:rsid w:val="002B148E"/>
    <w:rsid w:val="002B3554"/>
    <w:rsid w:val="00333D44"/>
    <w:rsid w:val="003638A4"/>
    <w:rsid w:val="00363D57"/>
    <w:rsid w:val="003749FC"/>
    <w:rsid w:val="003820E1"/>
    <w:rsid w:val="003A1C7E"/>
    <w:rsid w:val="003F70EB"/>
    <w:rsid w:val="00460346"/>
    <w:rsid w:val="00485883"/>
    <w:rsid w:val="004872B1"/>
    <w:rsid w:val="004C3944"/>
    <w:rsid w:val="00572474"/>
    <w:rsid w:val="00585B41"/>
    <w:rsid w:val="00597896"/>
    <w:rsid w:val="005A2278"/>
    <w:rsid w:val="0064562B"/>
    <w:rsid w:val="006A744E"/>
    <w:rsid w:val="006B727D"/>
    <w:rsid w:val="006C3895"/>
    <w:rsid w:val="0072094B"/>
    <w:rsid w:val="0072132F"/>
    <w:rsid w:val="00771CED"/>
    <w:rsid w:val="00795D5E"/>
    <w:rsid w:val="007B6086"/>
    <w:rsid w:val="007B736F"/>
    <w:rsid w:val="007D273E"/>
    <w:rsid w:val="00815735"/>
    <w:rsid w:val="00854CC3"/>
    <w:rsid w:val="00870AB4"/>
    <w:rsid w:val="008754C0"/>
    <w:rsid w:val="00915C86"/>
    <w:rsid w:val="00960200"/>
    <w:rsid w:val="00982390"/>
    <w:rsid w:val="00997A48"/>
    <w:rsid w:val="009A39FE"/>
    <w:rsid w:val="009D7847"/>
    <w:rsid w:val="00A459DB"/>
    <w:rsid w:val="00AA3F03"/>
    <w:rsid w:val="00AB092B"/>
    <w:rsid w:val="00B41225"/>
    <w:rsid w:val="00B51EB7"/>
    <w:rsid w:val="00B676C7"/>
    <w:rsid w:val="00BD1737"/>
    <w:rsid w:val="00BE5C22"/>
    <w:rsid w:val="00C171F5"/>
    <w:rsid w:val="00C975C5"/>
    <w:rsid w:val="00CB3A77"/>
    <w:rsid w:val="00CD2957"/>
    <w:rsid w:val="00CF0D6C"/>
    <w:rsid w:val="00D20DA2"/>
    <w:rsid w:val="00D43A70"/>
    <w:rsid w:val="00D60923"/>
    <w:rsid w:val="00E32E06"/>
    <w:rsid w:val="00E9373E"/>
    <w:rsid w:val="00EC090E"/>
    <w:rsid w:val="00F232DD"/>
    <w:rsid w:val="00FC6B7F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92B"/>
  </w:style>
  <w:style w:type="paragraph" w:styleId="a5">
    <w:name w:val="footer"/>
    <w:basedOn w:val="a"/>
    <w:link w:val="a6"/>
    <w:uiPriority w:val="99"/>
    <w:unhideWhenUsed/>
    <w:rsid w:val="00AB0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92B"/>
  </w:style>
  <w:style w:type="character" w:customStyle="1" w:styleId="a7">
    <w:name w:val="Основной текст_"/>
    <w:basedOn w:val="a0"/>
    <w:link w:val="1"/>
    <w:rsid w:val="002216A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216A0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6CCF87315BEB6F99D33D27C93FB18D432405BFC6490F685704269BCC46F1AC4E4C6B11E078B142317DCB2DB849B4491BB756A3EBEE99893C4aFE9I" TargetMode="External"/><Relationship Id="rId13" Type="http://schemas.openxmlformats.org/officeDocument/2006/relationships/hyperlink" Target="consultantplus://offline/ref=B436CCF87315BEB6F99D23D57BFBC11E8C384659F36C99A2D272133CB2C1674A9EF4D0F8130495142B09DAB98DaDE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36CCF87315BEB6F99D23D57BFBC11E8C38455EFB6399A2D272133CB2C1674A9EF4D0F8130495142B09DAB98DaDE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36CCF87315BEB6F99D23D57BFBC11E8F384059F26799A2D272133CB2C1674A9EF4D0F8130495142B09DAB98DaDE6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436CCF87315BEB6F99D23D57BFBC11E8C3C4758F26099A2D272133CB2C1674A9EF4D0F8130495142B09DAB98DaDE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6CCF87315BEB6F99D23D57BFBC11E883B4852FB6699A2D272133CB2C1674A9EF4D0F8130495142B09DAB98DaDE6I" TargetMode="External"/><Relationship Id="rId14" Type="http://schemas.openxmlformats.org/officeDocument/2006/relationships/hyperlink" Target="consultantplus://offline/ref=B436CCF87315BEB6F99D23D57BFBC11E8C37425DF86C99A2D272133CB2C1674A9EF4D0F8130495142B09DAB98DaDE6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82E4.9D5C2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B40F-6E85-4734-AAEE-95CF6755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Timon</cp:lastModifiedBy>
  <cp:revision>2</cp:revision>
  <dcterms:created xsi:type="dcterms:W3CDTF">2024-03-03T10:16:00Z</dcterms:created>
  <dcterms:modified xsi:type="dcterms:W3CDTF">2024-03-03T10:16:00Z</dcterms:modified>
</cp:coreProperties>
</file>